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地下室集中</w:t>
      </w:r>
      <w:r>
        <w:rPr>
          <w:rFonts w:hint="default" w:eastAsia="宋体" w:cs="宋体"/>
          <w:b/>
          <w:bCs/>
          <w:sz w:val="36"/>
          <w:szCs w:val="36"/>
          <w:lang w:val="en-US" w:eastAsia="zh-CN"/>
        </w:rPr>
        <w:t>更衣室加装</w:t>
      </w: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监控、</w:t>
      </w:r>
      <w:r>
        <w:rPr>
          <w:rFonts w:hint="default" w:eastAsia="宋体" w:cs="宋体"/>
          <w:b/>
          <w:bCs/>
          <w:sz w:val="36"/>
          <w:szCs w:val="36"/>
          <w:lang w:val="en-US" w:eastAsia="zh-CN"/>
        </w:rPr>
        <w:t>门禁</w:t>
      </w: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项目客户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需求书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为提升淮北市人民医院南北楼负一层更衣室的安全性、保护医护人员个人物品，防止未经授权人员进入，特制定该门禁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监控方案。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二、安装目标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1、门禁系统：门禁设备须有刷脸、刷卡、密码等功能，确保安全、可靠、耐用。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2、监控系统：在更衣室出入口关键位置安装高清网络摄像头，具备夜视功能，保证24小时监控无死角。监控画面实时传输至中心监控室。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3、线路铺设：依据更衣室布局，合理规划电源线和数据线走向，采用暗线铺设方式，保持环境整洁美观，同时确保线路安全稳定。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4、设备安装：门禁设备安装在更衣室出入口便于操作位置；摄像头安装在能覆盖关键区域的高处，避免遮挡。安装完成后进行调试，确保设备正常运行。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三、项目控制价为45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t>50元，以实际中标价为准，投标时附产品参数介绍，不承诺最低价中标，请充分考察现场考虑各种不利因素。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四、施工前需到物业公司完成报备手续，施工垃圾自行外运。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五、投标人须具备独立的法人营业资格。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六、工期要求：接到中标通知后10个日历日，产品质保期：2年。</w:t>
      </w:r>
    </w:p>
    <w:p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</w:p>
    <w:tbl>
      <w:tblPr>
        <w:tblStyle w:val="18"/>
        <w:tblpPr w:leftFromText="180" w:rightFromText="180" w:vertAnchor="text" w:horzAnchor="page" w:tblpX="1905" w:tblpY="20"/>
        <w:tblOverlap w:val="never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65"/>
        <w:gridCol w:w="1790"/>
        <w:gridCol w:w="870"/>
        <w:gridCol w:w="780"/>
        <w:gridCol w:w="765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合计/元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POE摄像机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接入已有监控系统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人脸+刷卡+密码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见参考图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见参考图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Style w:val="70"/>
                <w:sz w:val="24"/>
                <w:szCs w:val="24"/>
                <w:lang w:val="en-US" w:eastAsia="zh-CN" w:bidi="ar"/>
              </w:rPr>
              <w:t>合计：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1、综合单价为包含了人工费、材料费、机械费、脚手架、垂直运输、垃圾外运、成品保护费、安全文明施工费、规费、管理费、利润、税金等一切费用的综合全费用单价。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2、要求考察现场，充分考虑各种不利因素，不得以不了解现场为由提出任何变更申请。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3、售后响应时长：0.5小时内。出现重大问题，2小时内到达现场解决问题 。</w:t>
            </w:r>
          </w:p>
        </w:tc>
      </w:tr>
    </w:tbl>
    <w:p>
      <w:pPr>
        <w:pStyle w:val="1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5485130</wp:posOffset>
            </wp:positionV>
            <wp:extent cx="3622040" cy="3682365"/>
            <wp:effectExtent l="0" t="0" r="16510" b="13335"/>
            <wp:wrapSquare wrapText="bothSides"/>
            <wp:docPr id="1" name="图片 1" descr="8f21741891cd145f0aa03880b975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21741891cd145f0aa03880b975c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1875155</wp:posOffset>
            </wp:positionV>
            <wp:extent cx="3437255" cy="3542665"/>
            <wp:effectExtent l="0" t="0" r="10795" b="635"/>
            <wp:wrapSquare wrapText="bothSides"/>
            <wp:docPr id="2" name="图片 2" descr="8688498b481e8a62886563a0465e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88498b481e8a62886563a0465e3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000000"/>
    <w:rsid w:val="04C5285F"/>
    <w:rsid w:val="07AE036B"/>
    <w:rsid w:val="133B7B67"/>
    <w:rsid w:val="19B36D72"/>
    <w:rsid w:val="35075CD2"/>
    <w:rsid w:val="35894098"/>
    <w:rsid w:val="77D5511A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  <w:style w:type="character" w:customStyle="1" w:styleId="70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692</Characters>
  <Lines>0</Lines>
  <Paragraphs>111</Paragraphs>
  <TotalTime>0</TotalTime>
  <ScaleCrop>false</ScaleCrop>
  <LinksUpToDate>false</LinksUpToDate>
  <CharactersWithSpaces>714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user</cp:lastModifiedBy>
  <cp:lastPrinted>2025-03-26T10:46:29Z</cp:lastPrinted>
  <dcterms:modified xsi:type="dcterms:W3CDTF">2025-03-26T10:47:22Z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2052-11.1.0.12165</vt:lpwstr>
  </property>
  <property fmtid="{D5CDD505-2E9C-101B-9397-08002B2CF9AE}" pid="4" name="ICV">
    <vt:lpwstr>C66C1575392E4A888D0ABBD75252D560</vt:lpwstr>
  </property>
  <property fmtid="{D5CDD505-2E9C-101B-9397-08002B2CF9AE}" pid="5" name="KSOTemplateDocerSaveRecord">
    <vt:lpwstr>eyJoZGlkIjoiYzE0MzVjN2RlMWM0NmI1YTA5YzQ3MTYxZjEwMjAyMDYiLCJ1c2VySWQiOiIyMDMzNDk0NjYifQ==</vt:lpwstr>
  </property>
</Properties>
</file>